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19" w:rsidRPr="000F2A6A" w:rsidRDefault="00210919" w:rsidP="00210919">
      <w:pPr>
        <w:jc w:val="center"/>
        <w:rPr>
          <w:b/>
        </w:rPr>
      </w:pPr>
      <w:r w:rsidRPr="000F2A6A">
        <w:rPr>
          <w:b/>
        </w:rPr>
        <w:t>ZASADY DOFINANSOWANIA LIKWID</w:t>
      </w:r>
      <w:r w:rsidR="00466F5F">
        <w:rPr>
          <w:b/>
        </w:rPr>
        <w:t>ACJI BARIER ARCHITEKTONICZNYCH</w:t>
      </w:r>
    </w:p>
    <w:p w:rsidR="00210919" w:rsidRDefault="00210919" w:rsidP="00210919">
      <w:pPr>
        <w:jc w:val="both"/>
        <w:rPr>
          <w:bCs/>
        </w:rPr>
      </w:pPr>
    </w:p>
    <w:p w:rsidR="00210919" w:rsidRPr="00466F5F" w:rsidRDefault="00466F5F" w:rsidP="00466F5F">
      <w:pPr>
        <w:jc w:val="both"/>
        <w:rPr>
          <w:bCs/>
        </w:rPr>
      </w:pPr>
      <w:r>
        <w:rPr>
          <w:bCs/>
        </w:rPr>
        <w:t xml:space="preserve">Ilekroć mowa jest o </w:t>
      </w:r>
      <w:r w:rsidR="00210919" w:rsidRPr="004474A3">
        <w:t>barierach architektonicznych – oznacza to wszelkie utrudnienia występujące w budynku i w jego najbliższej okolicy, które ze względu na rozwiązania techniczne, konstrukcyjne lub warunki użytkowania uniemożliwiają lub utrudniają swobodę ruchu osobom niepełnosprawnym.</w:t>
      </w:r>
    </w:p>
    <w:p w:rsidR="00210919" w:rsidRDefault="00210919" w:rsidP="00210919">
      <w:pPr>
        <w:tabs>
          <w:tab w:val="left" w:pos="284"/>
          <w:tab w:val="num" w:pos="426"/>
        </w:tabs>
        <w:jc w:val="both"/>
      </w:pPr>
    </w:p>
    <w:p w:rsidR="00210919" w:rsidRPr="002B0CC9" w:rsidRDefault="00210919" w:rsidP="00210919">
      <w:pPr>
        <w:jc w:val="both"/>
        <w:rPr>
          <w:b/>
          <w:u w:val="single"/>
        </w:rPr>
      </w:pPr>
      <w:r w:rsidRPr="002B0CC9">
        <w:rPr>
          <w:b/>
          <w:u w:val="single"/>
        </w:rPr>
        <w:t>Dofinansowanie likwidacji barier architektonicznych</w:t>
      </w:r>
    </w:p>
    <w:p w:rsidR="00210919" w:rsidRDefault="00210919" w:rsidP="00210919">
      <w:pPr>
        <w:tabs>
          <w:tab w:val="left" w:pos="284"/>
        </w:tabs>
        <w:jc w:val="center"/>
        <w:rPr>
          <w:b/>
        </w:rPr>
      </w:pPr>
    </w:p>
    <w:p w:rsidR="00210919" w:rsidRDefault="00210919" w:rsidP="00210919">
      <w:pPr>
        <w:pStyle w:val="Akapitzlist"/>
        <w:numPr>
          <w:ilvl w:val="1"/>
          <w:numId w:val="1"/>
        </w:numPr>
        <w:tabs>
          <w:tab w:val="left" w:pos="426"/>
        </w:tabs>
        <w:ind w:left="426" w:hanging="426"/>
        <w:jc w:val="both"/>
      </w:pPr>
      <w:r w:rsidRPr="002A722D">
        <w:t xml:space="preserve">O dofinansowanie mogą ubiegać się osoby niepełnosprawne, które mają trudności </w:t>
      </w:r>
      <w:r>
        <w:br/>
      </w:r>
      <w:r w:rsidRPr="002A722D">
        <w:t>w poruszaniu się</w:t>
      </w:r>
      <w:r>
        <w:t xml:space="preserve">, jeżeli są właścicielami nieruchomości lub użytkownikami wieczystymi nieruchomości albo posiadają zgodę właściciela lokalu lub budynku mieszkalnego, w którym stale zamieszkują, </w:t>
      </w:r>
      <w:r w:rsidRPr="004474A3">
        <w:t>jeżeli ta likwidacja umożliwi lub w znacznym stopniu ułatwi osobie niepełnosprawnej wykonywanie pods</w:t>
      </w:r>
      <w:r>
        <w:t>tawowych, codziennych czynności.</w:t>
      </w:r>
    </w:p>
    <w:p w:rsidR="00210919" w:rsidRDefault="00210919" w:rsidP="00210919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ind w:left="425" w:hanging="425"/>
        <w:contextualSpacing w:val="0"/>
        <w:jc w:val="both"/>
      </w:pPr>
      <w:r>
        <w:t xml:space="preserve">Przy rozpatrywaniu wniosków uwzględnia się: </w:t>
      </w:r>
    </w:p>
    <w:p w:rsidR="00210919" w:rsidRDefault="00210919" w:rsidP="00210919">
      <w:pPr>
        <w:pStyle w:val="Akapitzlist"/>
        <w:numPr>
          <w:ilvl w:val="2"/>
          <w:numId w:val="1"/>
        </w:numPr>
        <w:tabs>
          <w:tab w:val="left" w:pos="426"/>
        </w:tabs>
        <w:ind w:left="851"/>
        <w:jc w:val="both"/>
      </w:pPr>
      <w:r>
        <w:t>stopień i rodzaj niepełnosprawności, wiek, sytuację zawodową, poruszanie się przy pomocy wózka inwalidzkiego, poruszanie się przy pomocy sprzętu ortopedycznego, prowadzenie gospodarstwa domowego samodzielnie lub z rodziną, wspólne zamieszkiwanie z inną osobą niepełnosprawną, mającą trudności w poruszaniu się,</w:t>
      </w:r>
    </w:p>
    <w:p w:rsidR="00210919" w:rsidRPr="002A722D" w:rsidRDefault="00210919" w:rsidP="00210919">
      <w:pPr>
        <w:pStyle w:val="Akapitzlist"/>
        <w:numPr>
          <w:ilvl w:val="2"/>
          <w:numId w:val="1"/>
        </w:numPr>
        <w:tabs>
          <w:tab w:val="left" w:pos="851"/>
        </w:tabs>
        <w:ind w:left="851"/>
        <w:jc w:val="both"/>
      </w:pPr>
      <w:r w:rsidRPr="001A15C2">
        <w:rPr>
          <w:b/>
        </w:rPr>
        <w:t xml:space="preserve">pierwszeństwo </w:t>
      </w:r>
      <w:r>
        <w:t xml:space="preserve">w uzyskaniu dofinansowania mają </w:t>
      </w:r>
      <w:r w:rsidRPr="001A15C2">
        <w:rPr>
          <w:b/>
        </w:rPr>
        <w:t>dzieci niepełnosprawne do lat 18</w:t>
      </w:r>
      <w:r>
        <w:t xml:space="preserve"> oraz </w:t>
      </w:r>
      <w:r w:rsidRPr="001A15C2">
        <w:rPr>
          <w:b/>
        </w:rPr>
        <w:t>dorosłe osoby niepełnosprawne</w:t>
      </w:r>
      <w:r>
        <w:t xml:space="preserve"> </w:t>
      </w:r>
      <w:r w:rsidRPr="001A15C2">
        <w:rPr>
          <w:b/>
        </w:rPr>
        <w:t>w wieku aktywności zawodowej</w:t>
      </w:r>
      <w:r>
        <w:rPr>
          <w:b/>
        </w:rPr>
        <w:t>.</w:t>
      </w:r>
    </w:p>
    <w:p w:rsidR="00210919" w:rsidRDefault="00210919" w:rsidP="00210919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5" w:hanging="425"/>
        <w:contextualSpacing w:val="0"/>
        <w:jc w:val="both"/>
      </w:pPr>
      <w:r>
        <w:t xml:space="preserve">Przedmiotem dofinansowania może być wykonanie robót budowlanych i prac ułatwiających osobie niepełnosprawnej wykonywanie podstawowych codziennych czynności o szerszym zakresie (np. adaptacja łazienki i toalety, likwidacja progów w mieszkaniu, budowa podjazdów, montaż wind, zakup urządzeń i materiałów budowlanych itp.). </w:t>
      </w:r>
    </w:p>
    <w:p w:rsidR="00210919" w:rsidRDefault="00210919" w:rsidP="00210919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5" w:hanging="425"/>
        <w:contextualSpacing w:val="0"/>
        <w:jc w:val="both"/>
      </w:pPr>
      <w:r w:rsidRPr="005A6517">
        <w:rPr>
          <w:b/>
        </w:rPr>
        <w:t>Szczegółowe informacje dotyczące przedmiotu dofinansowania</w:t>
      </w:r>
      <w:r>
        <w:t xml:space="preserve"> określa </w:t>
      </w:r>
      <w:r w:rsidRPr="005A6517">
        <w:rPr>
          <w:b/>
        </w:rPr>
        <w:t>„</w:t>
      </w:r>
      <w:r w:rsidRPr="005A6517">
        <w:rPr>
          <w:u w:val="single"/>
        </w:rPr>
        <w:t>Katalog urządzeń, robót i innych czynności podlegających dofinansowaniu ze środków PFRON w zakresie likwidacji barier architektonicznych”</w:t>
      </w:r>
      <w:r w:rsidRPr="005A6517">
        <w:rPr>
          <w:b/>
          <w:i/>
        </w:rPr>
        <w:t>,</w:t>
      </w:r>
      <w:r>
        <w:t xml:space="preserve"> stanowiący </w:t>
      </w:r>
      <w:r w:rsidRPr="005A6517">
        <w:rPr>
          <w:b/>
        </w:rPr>
        <w:t>załącznik nr 1</w:t>
      </w:r>
      <w:r>
        <w:t xml:space="preserve"> do niniejszych zasad.</w:t>
      </w:r>
    </w:p>
    <w:p w:rsidR="00210919" w:rsidRDefault="00210919" w:rsidP="00210919">
      <w:pPr>
        <w:pStyle w:val="Akapitzlist"/>
        <w:numPr>
          <w:ilvl w:val="1"/>
          <w:numId w:val="7"/>
        </w:numPr>
        <w:tabs>
          <w:tab w:val="left" w:pos="426"/>
        </w:tabs>
        <w:spacing w:before="120"/>
        <w:ind w:left="425" w:hanging="425"/>
        <w:contextualSpacing w:val="0"/>
        <w:jc w:val="both"/>
      </w:pPr>
      <w:r w:rsidRPr="006125E1">
        <w:t>Zasadność realizacji wniosku</w:t>
      </w:r>
      <w:r>
        <w:t xml:space="preserve"> oraz typowany do dofinansowania zakres prac zostanie</w:t>
      </w:r>
      <w:r w:rsidRPr="006125E1">
        <w:t xml:space="preserve"> zweryfikowan</w:t>
      </w:r>
      <w:r>
        <w:t>y</w:t>
      </w:r>
      <w:r w:rsidRPr="006125E1">
        <w:t xml:space="preserve"> podczas wizji lokalnej w miejscu zamieszkania osoby niepełnosprawnej przez przedstawicieli Centrum w Augustowie oraz osób współpracujących lub działających na zlecenie Centrum w Augustowie. </w:t>
      </w:r>
    </w:p>
    <w:p w:rsidR="00210919" w:rsidRPr="009F7E43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9F7E43">
        <w:t>Wnioski rozpatrywane są według indywidualnych potrzeb osób niepełnosprawnych</w:t>
      </w:r>
      <w:r>
        <w:t>,</w:t>
      </w:r>
      <w:r w:rsidRPr="009F7E43">
        <w:t xml:space="preserve"> w oparciu o sporządzony przez osobę uprawnioną oraz zweryfikowany przez inspektora nadzoru budowalnego działającego na zlecenie Centrum, bądź sporządzony przez inspektora nadzoru budowalnego działającego na zlecenie Centrum szczegółowy kosztorys inwestorski na typowan</w:t>
      </w:r>
      <w:r>
        <w:t>y</w:t>
      </w:r>
      <w:r w:rsidRPr="009F7E43">
        <w:t xml:space="preserve"> do dofinansowania </w:t>
      </w:r>
      <w:r>
        <w:t xml:space="preserve">zakres prac </w:t>
      </w:r>
      <w:r w:rsidRPr="009F7E43">
        <w:t>obejmujący całkowity koszt dofinansowanych robót.</w:t>
      </w:r>
    </w:p>
    <w:p w:rsidR="00210919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>
        <w:t>Dofinansowaniem ze środków Funduszu może być objęta likwidacja barier architektonicznych w budynkach już istniejących, w budynkach nowobudowanych lub będących w trakcie prac wykończeniowych nie przewiduje się udzielenia dofinansowania.</w:t>
      </w:r>
    </w:p>
    <w:p w:rsidR="00210919" w:rsidRPr="0008029C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8029C">
        <w:t xml:space="preserve">Dofinansowaniu nie podlegają prace o charakterze remontowo – wykończeniowym, które nie wpływają na poprawę funkcjonowania osoby niepełnosprawnej lecz stanowią jedynie </w:t>
      </w:r>
      <w:r>
        <w:br/>
      </w:r>
      <w:r w:rsidRPr="0008029C">
        <w:t>o podniesieniu estetyki pomieszczeń.</w:t>
      </w:r>
    </w:p>
    <w:p w:rsidR="00210919" w:rsidRPr="005A651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bCs/>
        </w:rPr>
      </w:pPr>
      <w:r w:rsidRPr="005A6517">
        <w:rPr>
          <w:bCs/>
        </w:rPr>
        <w:lastRenderedPageBreak/>
        <w:t xml:space="preserve">Wydatki na dofinansowanie likwidacji barier powinny być dokonane w sposób celowy </w:t>
      </w:r>
      <w:r w:rsidRPr="005A6517">
        <w:rPr>
          <w:bCs/>
        </w:rPr>
        <w:br/>
        <w:t>i oszczędny, z zachowaniem zasady uzyskiwania najlepszych efektów z poniesionych nakładów.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95447">
        <w:rPr>
          <w:bCs/>
        </w:rPr>
        <w:t xml:space="preserve">Ze względu na przewidywany niedobór środków, wysokość dofinansowania likwidacji barier architektonicznych może wynosić </w:t>
      </w:r>
      <w:r w:rsidRPr="00095447">
        <w:rPr>
          <w:b/>
          <w:bCs/>
        </w:rPr>
        <w:t>do 70%</w:t>
      </w:r>
      <w:r w:rsidRPr="00095447">
        <w:rPr>
          <w:bCs/>
        </w:rPr>
        <w:t xml:space="preserve"> kosztów przedsięwzięcia, z tym że maksymalna wysokość dofinansowania nie może przekroczyć kwoty </w:t>
      </w:r>
      <w:r w:rsidRPr="00095447">
        <w:rPr>
          <w:b/>
          <w:bCs/>
        </w:rPr>
        <w:t>8 000,00 zł.</w:t>
      </w:r>
      <w:r w:rsidRPr="00095447">
        <w:rPr>
          <w:bCs/>
        </w:rPr>
        <w:t xml:space="preserve"> W kosztach przedsięwzięcia nie uwzględnia się:</w:t>
      </w:r>
    </w:p>
    <w:p w:rsidR="00210919" w:rsidRPr="00095447" w:rsidRDefault="00210919" w:rsidP="00210919">
      <w:pPr>
        <w:pStyle w:val="Akapitzlist"/>
        <w:numPr>
          <w:ilvl w:val="3"/>
          <w:numId w:val="6"/>
        </w:numPr>
        <w:tabs>
          <w:tab w:val="left" w:pos="851"/>
        </w:tabs>
        <w:ind w:left="851"/>
        <w:jc w:val="both"/>
        <w:rPr>
          <w:bCs/>
        </w:rPr>
      </w:pPr>
      <w:r w:rsidRPr="00095447">
        <w:rPr>
          <w:bCs/>
        </w:rPr>
        <w:t>opłat z tytułu sporządzenia dokumentacji stanowiącej podstawę do wydania pozwolenia na rozpoczęcie przedsięwzięcia,</w:t>
      </w:r>
    </w:p>
    <w:p w:rsidR="00210919" w:rsidRPr="00095447" w:rsidRDefault="00210919" w:rsidP="00210919">
      <w:pPr>
        <w:pStyle w:val="Akapitzlist"/>
        <w:numPr>
          <w:ilvl w:val="3"/>
          <w:numId w:val="6"/>
        </w:numPr>
        <w:tabs>
          <w:tab w:val="left" w:pos="851"/>
        </w:tabs>
        <w:ind w:left="851"/>
        <w:jc w:val="both"/>
        <w:rPr>
          <w:bCs/>
        </w:rPr>
      </w:pPr>
      <w:r w:rsidRPr="00095447">
        <w:rPr>
          <w:bCs/>
        </w:rPr>
        <w:t xml:space="preserve">opłat z tytułu sporządzenia dokumentów stanowiących podstawę do wydania zgody na dopuszczenie do eksploatacji urządzeń jeżeli konieczność takiej zgody wynika </w:t>
      </w:r>
      <w:r w:rsidRPr="00095447">
        <w:rPr>
          <w:bCs/>
        </w:rPr>
        <w:br/>
        <w:t>z odrębnych przepisów,</w:t>
      </w:r>
    </w:p>
    <w:p w:rsidR="00210919" w:rsidRPr="00095447" w:rsidRDefault="00210919" w:rsidP="00210919">
      <w:pPr>
        <w:pStyle w:val="Akapitzlist"/>
        <w:numPr>
          <w:ilvl w:val="3"/>
          <w:numId w:val="6"/>
        </w:numPr>
        <w:tabs>
          <w:tab w:val="left" w:pos="851"/>
        </w:tabs>
        <w:ind w:left="851"/>
        <w:jc w:val="both"/>
        <w:rPr>
          <w:bCs/>
        </w:rPr>
      </w:pPr>
      <w:r w:rsidRPr="00095447">
        <w:rPr>
          <w:bCs/>
        </w:rPr>
        <w:t xml:space="preserve">opłat z tytułu sporządzenia kosztorysów wstępnych i powykonawczych oraz wymaganych ekspertyz (opinii). 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b/>
        </w:rPr>
      </w:pPr>
      <w:r w:rsidRPr="00095447">
        <w:t>Ostateczną decyzję o przyznaniu dofinansowania i jego wysokości lub odmowie dofinansowania podejmuje Dyrektor Centrum.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6" w:hanging="426"/>
        <w:contextualSpacing w:val="0"/>
        <w:jc w:val="both"/>
      </w:pPr>
      <w:r w:rsidRPr="00095447">
        <w:t xml:space="preserve">Od odmowy o przyznaniu dofinansowania Wnioskodawcy nie przysługuje odwołanie </w:t>
      </w:r>
      <w:r w:rsidRPr="00095447">
        <w:br/>
        <w:t>w rozumieniu przepisów KPA.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95447">
        <w:t>Wnioskodawca, któremu nie zostało przyznane dofinansowanie z powodu niewystarczającej wysokości środków</w:t>
      </w:r>
      <w:r>
        <w:t xml:space="preserve"> Funduszu </w:t>
      </w:r>
      <w:r w:rsidRPr="00095447">
        <w:t>przeznaczonych na likwidację barier w danym roku, może wystąpić o dofinansowanie ponownie w roku następnym składając nowy wniosek.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95447">
        <w:t>W przypadku śmierci Wnioskodawcy wniosek nie podlega dalszemu rozpatrywaniu.</w:t>
      </w:r>
    </w:p>
    <w:p w:rsidR="00210919" w:rsidRPr="00095447" w:rsidRDefault="00210919" w:rsidP="00210919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95447">
        <w:t>Jeśli wniosek został rozpatrzony pozytywnie, a następnie osoba niepełnosprawna zmarła, nie wypłaca się przyznanego dofinansowania.</w:t>
      </w:r>
    </w:p>
    <w:p w:rsidR="00210919" w:rsidRDefault="00210919" w:rsidP="00210919">
      <w:pPr>
        <w:jc w:val="both"/>
        <w:rPr>
          <w:sz w:val="23"/>
          <w:szCs w:val="23"/>
        </w:rPr>
      </w:pPr>
    </w:p>
    <w:p w:rsidR="00210919" w:rsidRDefault="00210919"/>
    <w:p w:rsidR="00210919" w:rsidRDefault="00210919"/>
    <w:p w:rsidR="00210919" w:rsidRPr="0047712A" w:rsidRDefault="00210919" w:rsidP="00210919">
      <w:pPr>
        <w:ind w:left="4248"/>
        <w:jc w:val="center"/>
        <w:rPr>
          <w:b/>
          <w:spacing w:val="50"/>
          <w:sz w:val="23"/>
          <w:szCs w:val="23"/>
        </w:rPr>
      </w:pPr>
      <w:r w:rsidRPr="0047712A">
        <w:rPr>
          <w:b/>
          <w:spacing w:val="50"/>
          <w:sz w:val="23"/>
          <w:szCs w:val="23"/>
        </w:rPr>
        <w:t xml:space="preserve">DYREKTOR </w:t>
      </w:r>
    </w:p>
    <w:p w:rsidR="00210919" w:rsidRDefault="00210919" w:rsidP="00210919">
      <w:pPr>
        <w:ind w:left="4248"/>
        <w:jc w:val="center"/>
        <w:rPr>
          <w:b/>
        </w:rPr>
      </w:pPr>
      <w:r w:rsidRPr="00C47B52">
        <w:rPr>
          <w:b/>
        </w:rPr>
        <w:t xml:space="preserve">Powiatowego Centrum </w:t>
      </w:r>
    </w:p>
    <w:p w:rsidR="00210919" w:rsidRPr="00C47B52" w:rsidRDefault="00210919" w:rsidP="00210919">
      <w:pPr>
        <w:ind w:left="4248"/>
        <w:jc w:val="center"/>
        <w:rPr>
          <w:b/>
        </w:rPr>
      </w:pPr>
      <w:r w:rsidRPr="00C47B52">
        <w:rPr>
          <w:b/>
        </w:rPr>
        <w:t>Pomocy Rodzinie</w:t>
      </w:r>
      <w:r>
        <w:rPr>
          <w:b/>
        </w:rPr>
        <w:t xml:space="preserve"> </w:t>
      </w:r>
      <w:r w:rsidRPr="00C47B52">
        <w:rPr>
          <w:b/>
        </w:rPr>
        <w:t>w Augustowie</w:t>
      </w:r>
    </w:p>
    <w:p w:rsidR="00210919" w:rsidRPr="00C47B52" w:rsidRDefault="00210919" w:rsidP="00210919">
      <w:pPr>
        <w:ind w:left="4248"/>
        <w:jc w:val="center"/>
        <w:rPr>
          <w:b/>
        </w:rPr>
      </w:pPr>
    </w:p>
    <w:p w:rsidR="00B06AC8" w:rsidRPr="00753C41" w:rsidRDefault="00B06AC8" w:rsidP="00B06AC8">
      <w:pPr>
        <w:ind w:left="4248"/>
        <w:jc w:val="center"/>
        <w:rPr>
          <w:b/>
        </w:rPr>
      </w:pPr>
      <w:r>
        <w:rPr>
          <w:b/>
        </w:rPr>
        <w:t>/-/</w:t>
      </w:r>
      <w:r w:rsidRPr="00CB17F7">
        <w:rPr>
          <w:b/>
        </w:rPr>
        <w:t xml:space="preserve"> </w:t>
      </w:r>
      <w:r w:rsidRPr="00753C41">
        <w:rPr>
          <w:b/>
        </w:rPr>
        <w:t>mgr Andrzej Zarzecki</w:t>
      </w:r>
    </w:p>
    <w:p w:rsidR="00210919" w:rsidRPr="00C47B52" w:rsidRDefault="00210919" w:rsidP="00210919">
      <w:pPr>
        <w:ind w:left="4248"/>
        <w:jc w:val="center"/>
        <w:rPr>
          <w:b/>
        </w:rPr>
      </w:pPr>
      <w:bookmarkStart w:id="0" w:name="_GoBack"/>
      <w:bookmarkEnd w:id="0"/>
    </w:p>
    <w:p w:rsidR="00210919" w:rsidRDefault="00210919"/>
    <w:sectPr w:rsidR="0021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B4A"/>
    <w:multiLevelType w:val="hybridMultilevel"/>
    <w:tmpl w:val="69880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BA6905"/>
    <w:multiLevelType w:val="multilevel"/>
    <w:tmpl w:val="D418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B335AB"/>
    <w:multiLevelType w:val="hybridMultilevel"/>
    <w:tmpl w:val="045A4728"/>
    <w:lvl w:ilvl="0" w:tplc="3A4AAC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208"/>
    <w:multiLevelType w:val="hybridMultilevel"/>
    <w:tmpl w:val="7780CC7C"/>
    <w:lvl w:ilvl="0" w:tplc="3884B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D2D"/>
    <w:multiLevelType w:val="hybridMultilevel"/>
    <w:tmpl w:val="FB685242"/>
    <w:lvl w:ilvl="0" w:tplc="E4F077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5658"/>
    <w:multiLevelType w:val="hybridMultilevel"/>
    <w:tmpl w:val="A5482BB8"/>
    <w:lvl w:ilvl="0" w:tplc="03D42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77F"/>
    <w:multiLevelType w:val="hybridMultilevel"/>
    <w:tmpl w:val="F5D447CC"/>
    <w:lvl w:ilvl="0" w:tplc="C9B0D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33C5D"/>
    <w:multiLevelType w:val="hybridMultilevel"/>
    <w:tmpl w:val="276239CE"/>
    <w:lvl w:ilvl="0" w:tplc="B312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69E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789B9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97E81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E5A2F"/>
    <w:multiLevelType w:val="hybridMultilevel"/>
    <w:tmpl w:val="F716C01A"/>
    <w:lvl w:ilvl="0" w:tplc="054699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77F6"/>
    <w:multiLevelType w:val="hybridMultilevel"/>
    <w:tmpl w:val="F6F6E92A"/>
    <w:lvl w:ilvl="0" w:tplc="B312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EE690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789B9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97E81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11C85"/>
    <w:multiLevelType w:val="hybridMultilevel"/>
    <w:tmpl w:val="B8644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19"/>
    <w:rsid w:val="00210919"/>
    <w:rsid w:val="003F596D"/>
    <w:rsid w:val="00466F5F"/>
    <w:rsid w:val="00B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402E-72D5-4332-8017-36EDEA1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919"/>
    <w:pPr>
      <w:ind w:left="720"/>
      <w:contextualSpacing/>
    </w:pPr>
  </w:style>
  <w:style w:type="paragraph" w:customStyle="1" w:styleId="western">
    <w:name w:val="western"/>
    <w:basedOn w:val="Normalny"/>
    <w:rsid w:val="0021091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DPolkowska</dc:creator>
  <cp:keywords/>
  <dc:description/>
  <cp:lastModifiedBy>DPolkowska</cp:lastModifiedBy>
  <cp:revision>3</cp:revision>
  <dcterms:created xsi:type="dcterms:W3CDTF">2020-01-10T13:05:00Z</dcterms:created>
  <dcterms:modified xsi:type="dcterms:W3CDTF">2020-01-10T13:44:00Z</dcterms:modified>
</cp:coreProperties>
</file>